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 w:line="264" w:lineRule="auto"/>
        <w:jc w:val="center"/>
      </w:pPr>
      <w:r>
        <w:rPr>
          <w:b/>
          <w:bCs/>
          <w:sz w:val="32"/>
          <w:szCs w:val="32"/>
        </w:rPr>
        <w:t xml:space="preserve">Maslach Tükenmişlik Ölçeği</w:t>
      </w:r>
    </w:p>
    <w:p>
      <w:pPr>
        <w:spacing w:before="0" w:after="40" w:line="264" w:lineRule="auto"/>
        <w:jc w:val="center"/>
      </w:pPr>
      <w:r>
        <w:rPr>
          <w:b/>
          <w:bCs/>
          <w:color w:val="555555"/>
          <w:sz w:val="22"/>
          <w:szCs w:val="22"/>
        </w:rPr>
        <w:t xml:space="preserve">(MBI)</w:t>
      </w:r>
    </w:p>
    <w:p>
      <w:pPr>
        <w:pBdr>
          <w:bottom w:val="single" w:sz="12" w:space="4" w:color="222222"/>
        </w:pBdr>
        <w:spacing w:before="0" w:after="200" w:line="264" w:lineRule="auto"/>
        <w:jc w:val="center"/>
      </w:pPr>
      <w:r>
        <w:rPr>
          <w:i/>
          <w:iCs/>
          <w:color w:val="999999"/>
          <w:sz w:val="18"/>
          <w:szCs w:val="18"/>
        </w:rPr>
        <w:t xml:space="preserve">Maslach Burnout Inventory</w:t>
      </w:r>
    </w:p>
    <w:tbl>
      <w:tblPr>
        <w:tblW w:w="101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075"/>
        <w:gridCol w:w="5075"/>
      </w:tblGrid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Ad Soyad / Kod: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Tarih: </w:t>
            </w:r>
            <w:r>
              <w:rPr>
                <w:color w:val="666666"/>
              </w:rPr>
              <w:t xml:space="preserve">……/……/…………</w:t>
            </w:r>
          </w:p>
        </w:tc>
      </w:tr>
      <w:tr>
        <w:trPr>
          <w:cantSplit/>
          <w:trHeight w:val="480"/>
        </w:trPr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Yaş: </w:t>
            </w:r>
            <w:r>
              <w:rPr>
                <w:color w:val="666666"/>
              </w:rPr>
              <w:t xml:space="preserve">………   </w:t>
            </w:r>
            <w:r>
              <w:rPr>
                <w:b/>
                <w:bCs/>
              </w:rPr>
              <w:t xml:space="preserve">Cinsiyet: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Kadın  </w:t>
            </w: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  <w:r>
              <w:t xml:space="preserve"> Erkek</w:t>
            </w:r>
          </w:p>
        </w:tc>
        <w:tc>
          <w:tcPr>
            <w:tcW w:w="50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</w:rPr>
              <w:t xml:space="preserve">Eğitim: </w:t>
            </w:r>
            <w:r>
              <w:rPr>
                <w:color w:val="666666"/>
              </w:rPr>
              <w:t xml:space="preserve">……………………………………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12" w:space="0" w:color="333333"/>
          <w:left w:val="single" w:sz="12" w:space="0" w:color="333333"/>
          <w:bottom w:val="single" w:sz="12" w:space="0" w:color="333333"/>
          <w:right w:val="single" w:sz="12" w:space="0" w:color="333333"/>
          <w:insideH w:val="single" w:sz="12" w:space="0" w:color="333333"/>
          <w:insideV w:val="single" w:sz="12" w:space="0" w:color="333333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</w:trPr>
        <w:tc>
          <w:tcPr>
            <w:tcW w:w="10149" w:type="dxa"/>
            <w:shd w:val="clear" w:color="auto" w:fill="F5F5F5"/>
            <w:vAlign w:val="center"/>
          </w:tcPr>
          <w:p>
            <w:pPr>
              <w:spacing w:before="0" w:after="80" w:line="264" w:lineRule="auto"/>
            </w:pPr>
            <w:r>
              <w:rPr>
                <w:b/>
                <w:bCs/>
                <w:sz w:val="22"/>
                <w:szCs w:val="22"/>
              </w:rPr>
              <w:t xml:space="preserve">YÖNERGE</w:t>
            </w:r>
            <w:r>
              <w:rPr>
                <w:sz w:val="20"/>
                <w:szCs w:val="20"/>
              </w:rPr>
              <w:t xml:space="preserve"/>
              <w:br/>
              <w:t xml:space="preserve">Aşağıdaki ifadeleri okuyunuz ve size en uygun seçeneği (X) ile işaretleyiniz.</w:t>
            </w:r>
          </w:p>
          <w:tbl>
            <w:tblPr>
              <w:tblW w:w="7370" w:type="dxa"/>
              <w:jc w:val="center"/>
              <w:tblBorders>
                <w:top w:val="single" w:sz="8" w:space="0" w:color="CCCCCC"/>
                <w:left w:val="single" w:sz="8" w:space="0" w:color="CCCCCC"/>
                <w:bottom w:val="single" w:sz="8" w:space="0" w:color="CCCCCC"/>
                <w:right w:val="single" w:sz="8" w:space="0" w:color="CCCCCC"/>
                <w:insideH w:val="single" w:sz="8" w:space="0" w:color="CCCCCC"/>
                <w:insideV w:val="single" w:sz="8" w:space="0" w:color="CCCCCC"/>
              </w:tblBorders>
              <w:tblLayout w:type="fixed"/>
              <w:tblCellMar>
                <w:top w:w="45" w:type="dxa"/>
                <w:left w:w="90" w:type="dxa"/>
                <w:bottom w:w="45" w:type="dxa"/>
                <w:right w:w="90" w:type="dxa"/>
              </w:tblCellMar>
              <w:tblLook w:val="0000"/>
            </w:tblPr>
            <w:tblGrid>
              <w:gridCol w:w="1474"/>
              <w:gridCol w:w="1474"/>
              <w:gridCol w:w="1474"/>
              <w:gridCol w:w="1474"/>
              <w:gridCol w:w="1474"/>
            </w:tblGrid>
            <w:tr>
              <w:trPr>
                <w:cantSplit/>
              </w:trPr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0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Hiçbir zaman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1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Çok nadir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2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Bazen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3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Çoğu zaman</w:t>
                  </w:r>
                </w:p>
              </w:tc>
              <w:tc>
                <w:tcPr>
                  <w:tcW w:w="1474" w:type="dxa"/>
                  <w:shd w:val="clear" w:color="auto" w:fill="FFFFFF"/>
                  <w:vAlign w:val="center"/>
                </w:tcPr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b/>
                      <w:bCs/>
                      <w:sz w:val="26"/>
                      <w:szCs w:val="26"/>
                    </w:rPr>
                    <w:t xml:space="preserve">4</w:t>
                  </w:r>
                </w:p>
                <w:p>
                  <w:pPr>
                    <w:spacing w:before="0" w:after="0" w:line="264" w:lineRule="auto"/>
                    <w:jc w:val="center"/>
                  </w:pPr>
                  <w:r>
                    <w:rPr>
                      <w:color w:val="666666"/>
                      <w:sz w:val="15"/>
                      <w:szCs w:val="15"/>
                    </w:rPr>
                    <w:t xml:space="preserve">Her zaman</w:t>
                  </w:r>
                </w:p>
              </w:tc>
            </w:tr>
          </w:tbl>
          <w:p>
            <w:pPr>
              <w:spacing w:before="0" w:after="0" w:line="120" w:lineRule="exact"/>
            </w:pP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8" w:type="dxa"/>
        <w:tblBorders>
          <w:top w:val="single" w:sz="6" w:space="0" w:color="9A9FAA"/>
          <w:left w:val="single" w:sz="6" w:space="0" w:color="9A9FAA"/>
          <w:bottom w:val="single" w:sz="6" w:space="0" w:color="9A9FAA"/>
          <w:right w:val="single" w:sz="6" w:space="0" w:color="9A9FAA"/>
          <w:insideH w:val="single" w:sz="6" w:space="0" w:color="9A9FAA"/>
          <w:insideV w:val="single" w:sz="6" w:space="0" w:color="9A9FAA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567"/>
        <w:gridCol w:w="5046"/>
        <w:gridCol w:w="907"/>
        <w:gridCol w:w="907"/>
        <w:gridCol w:w="907"/>
        <w:gridCol w:w="907"/>
        <w:gridCol w:w="907"/>
      </w:tblGrid>
      <w:tr>
        <w:trPr>
          <w:cantSplit/>
          <w:tblHeader/>
        </w:trPr>
        <w:tc>
          <w:tcPr>
            <w:tcW w:w="56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</w:t>
            </w:r>
          </w:p>
        </w:tc>
        <w:tc>
          <w:tcPr>
            <w:tcW w:w="5046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İfade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Hiçbir zaman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(0)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Çok nadir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(1)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Bazen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(2)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Çoğu zaman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(3)</w:t>
            </w:r>
          </w:p>
        </w:tc>
        <w:tc>
          <w:tcPr>
            <w:tcW w:w="907" w:type="dxa"/>
            <w:shd w:val="clear" w:color="auto" w:fill="333A45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  <w:color w:val="FFFFFF"/>
                <w:sz w:val="14"/>
                <w:szCs w:val="14"/>
              </w:rPr>
              <w:t xml:space="preserve">Her zaman</w:t>
            </w:r>
            <w:r>
              <w:rPr>
                <w:b/>
                <w:bCs/>
                <w:color w:val="FFFFFF"/>
                <w:sz w:val="18"/>
                <w:szCs w:val="18"/>
              </w:rPr>
              <w:t xml:space="preserve"/>
              <w:br/>
              <w:t xml:space="preserve">(4)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İşimden dolayı kendimi duygusal olarak tükenmiş hissediyorum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İş gününün sonunda kendimi bitkin hissediyorum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3.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Sabah kalktığımda bir iş günü daha düşüncesi beni yoruyor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4.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Hizmet verdiğim insanların ne hissettiğini kolayca anlayabilirim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5.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Bazı hizmet alanlara sanki insan değilmişler gibi davrandığımı fark ediyorum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6.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Bütün gün insanlarla uğraşmak beni yıpratıyor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7.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Hizmet alanların sorunlarını etkili bir şekilde çözebiliyorum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8.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İşimden dolayı tükendiğimi hissediyorum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9.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İşim aracılığıyla insanların hayatını olumlu etkilediğimi hissediyorum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10.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Bu işte çalıştığımdan beri insanlara karşı daha sert davranıyorum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11.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Bu işin beni duygusal olarak katılaştırdığından endişe ediyorum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12.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Kendimi enerjik hissediyorum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13.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İşimden dolayı kendimi bunalmış hissediyorum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14.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İşimde çok fazla çalıştığımı düşünüyorum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15.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Hizmet alanların başına ne geleceği umurumda değil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16.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Doğrudan insanlarla çalışmak beni çok strese sokuyor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17.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Hizmet alanlarla rahat bir ortam yaratabiliyorum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18.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Hizmet alanlarla yakın çalıştıktan sonra canlanmış hissediyorum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19.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Bu işte birçok değerli şey başardım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20.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Yolun sonuna geldiğimi hissediyorum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21.</w:t>
            </w:r>
          </w:p>
        </w:tc>
        <w:tc>
          <w:tcPr>
            <w:tcW w:w="5046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İşimdeki duygusal sorunlarla sakin bir şekilde ilgileniyorum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  <w:tr>
        <w:trPr>
          <w:cantSplit/>
          <w:trHeight w:val="440"/>
        </w:trPr>
        <w:tc>
          <w:tcPr>
            <w:tcW w:w="56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b/>
                <w:bCs/>
              </w:rPr>
              <w:t xml:space="preserve">22.</w:t>
            </w:r>
          </w:p>
        </w:tc>
        <w:tc>
          <w:tcPr>
            <w:tcW w:w="5046" w:type="dxa"/>
            <w:shd w:val="clear" w:color="auto" w:fill="F5F6F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Hizmet alanların bazı sorunları için beni suçladığını hissediyorum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  <w:tc>
          <w:tcPr>
            <w:tcW w:w="907" w:type="dxa"/>
            <w:shd w:val="clear" w:color="auto" w:fill="F5F6F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color w:val="777777"/>
                <w:sz w:val="26"/>
                <w:szCs w:val="26"/>
              </w:rPr>
              <w:t xml:space="preserve">☐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pageBreakBefore/>
        <w:spacing w:before="0" w:after="40" w:line="264" w:lineRule="auto"/>
        <w:jc w:val="center"/>
      </w:pPr>
      <w:r>
        <w:rPr>
          <w:b/>
          <w:bCs/>
          <w:sz w:val="28"/>
          <w:szCs w:val="28"/>
        </w:rPr>
        <w:t xml:space="preserve">PUANLAMA VE HESAPLAMA KILAVUZU</w:t>
      </w:r>
    </w:p>
    <w:p>
      <w:pPr>
        <w:spacing w:before="0" w:after="160" w:line="264" w:lineRule="auto"/>
        <w:jc w:val="center"/>
      </w:pPr>
      <w:r>
        <w:rPr>
          <w:color w:val="888888"/>
          <w:sz w:val="20"/>
          <w:szCs w:val="20"/>
        </w:rPr>
        <w:t xml:space="preserve">Maslach Tükenmişlik Ölçeği (MBI)</w:t>
      </w:r>
    </w:p>
    <w:tbl>
      <w:tblPr>
        <w:tblW w:w="10149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608"/>
        <w:gridCol w:w="7541"/>
      </w:tblGrid>
      <w:tr>
        <w:trPr>
          <w:cantSplit/>
          <w:tblHeader/>
        </w:trPr>
        <w:tc>
          <w:tcPr>
            <w:tcW w:w="10149" w:type="dxa"/>
            <w:gridSpan w:val="2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1. Ölçek Genel Bilgileri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Ölçek Tipi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Likert (5'li)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Madde Sayısı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22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Alt Boyut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3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Puanlama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Toplam Puan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Cronbach 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0,830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Hedef Kitle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Yetişkinler (çalışanlar)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Cevap Seçenekleri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0 = Hiçbir zaman, 1 = Çok nadir, 2 = Bazen, 3 = Çoğu zaman, 4 = Her zaman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Puan Aralığı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0 – 88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Örneklem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n = 552</w:t>
            </w:r>
          </w:p>
        </w:tc>
      </w:tr>
      <w:tr>
        <w:trPr>
          <w:cantSplit/>
        </w:trPr>
        <w:tc>
          <w:tcPr>
            <w:tcW w:w="2608" w:type="dxa"/>
            <w:shd w:val="clear" w:color="auto" w:fill="F5F5F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20"/>
                <w:szCs w:val="20"/>
              </w:rPr>
              <w:t xml:space="preserve">Özgün Ölçek</w:t>
            </w:r>
          </w:p>
        </w:tc>
        <w:tc>
          <w:tcPr>
            <w:tcW w:w="7541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Maslach Burnout Inventory — Maslach, C. &amp; Jackson, S.E. (1981)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8" w:space="0" w:color="C0392B"/>
          <w:left w:val="single" w:sz="8" w:space="0" w:color="C0392B"/>
          <w:bottom w:val="single" w:sz="8" w:space="0" w:color="C0392B"/>
          <w:right w:val="single" w:sz="8" w:space="0" w:color="C0392B"/>
          <w:insideH w:val="single" w:sz="8" w:space="0" w:color="C0392B"/>
          <w:insideV w:val="single" w:sz="8" w:space="0" w:color="C0392B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  <w:tblHeader/>
        </w:trPr>
        <w:tc>
          <w:tcPr>
            <w:tcW w:w="10149" w:type="dxa"/>
            <w:shd w:val="clear" w:color="auto" w:fill="C0392B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2. Ters Kodlanan Maddeler</w:t>
            </w:r>
          </w:p>
        </w:tc>
      </w:tr>
      <w:tr>
        <w:trPr>
          <w:cantSplit/>
        </w:trPr>
        <w:tc>
          <w:tcPr>
            <w:tcW w:w="10149" w:type="dxa"/>
            <w:shd w:val="clear" w:color="auto" w:fill="FDF2F2"/>
            <w:vAlign w:val="center"/>
          </w:tcPr>
          <w:p>
            <w:pPr>
              <w:spacing w:before="0" w:after="40" w:line="264" w:lineRule="auto"/>
            </w:pPr>
            <w:r>
              <w:rPr>
                <w:b/>
                <w:bCs/>
              </w:rPr>
              <w:t xml:space="preserve">Ters maddeler: </w:t>
            </w:r>
            <w:r>
              <w:t xml:space="preserve">M4, M7, M9, M12, M17, M18, M19, M21</w:t>
            </w:r>
          </w:p>
          <w:p>
            <w:pPr>
              <w:spacing w:before="0" w:after="80" w:line="264" w:lineRule="auto"/>
            </w:pPr>
            <w:r>
              <w:rPr>
                <w:b/>
                <w:bCs/>
              </w:rPr>
              <w:t xml:space="preserve">Formül: </w:t>
            </w:r>
            <w:r>
              <w:t xml:space="preserve">Ters puan = (en küçük + en büyük seçenek değeri) − verilen puan = 4 − verilen puan</w:t>
            </w:r>
          </w:p>
          <w:tbl>
            <w:tblPr>
              <w:tblW w:w="4027" w:type="dxa"/>
              <w:tblBorders>
                <w:top w:val="single" w:sz="4" w:space="0" w:color="D0D0D0"/>
                <w:left w:val="single" w:sz="4" w:space="0" w:color="D0D0D0"/>
                <w:bottom w:val="single" w:sz="4" w:space="0" w:color="D0D0D0"/>
                <w:right w:val="single" w:sz="4" w:space="0" w:color="D0D0D0"/>
                <w:insideH w:val="single" w:sz="4" w:space="0" w:color="D0D0D0"/>
                <w:insideV w:val="single" w:sz="4" w:space="0" w:color="D0D0D0"/>
              </w:tblBorders>
              <w:tblLayout w:type="fixed"/>
              <w:tblCellMar>
                <w:top w:w="45" w:type="dxa"/>
                <w:left w:w="90" w:type="dxa"/>
                <w:bottom w:w="45" w:type="dxa"/>
                <w:right w:w="90" w:type="dxa"/>
              </w:tblCellMar>
              <w:tblLook w:val="0000"/>
            </w:tblPr>
            <w:tblGrid>
              <w:gridCol w:w="907"/>
              <w:gridCol w:w="624"/>
              <w:gridCol w:w="624"/>
              <w:gridCol w:w="624"/>
              <w:gridCol w:w="624"/>
              <w:gridCol w:w="624"/>
            </w:tblGrid>
            <w:tr>
              <w:trPr>
                <w:cantSplit/>
              </w:trPr>
              <w:tc>
                <w:tcPr>
                  <w:tcW w:w="907" w:type="dxa"/>
                  <w:shd w:val="clear" w:color="auto" w:fill="F0F0F0"/>
                  <w:vAlign w:val="center"/>
                </w:tcPr>
                <w:p>
                  <w:pPr>
                    <w:spacing w:before="0" w:after="0" w:line="252" w:lineRule="auto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Verilen</w:t>
                  </w:r>
                </w:p>
              </w:tc>
              <w:tc>
                <w:tcPr>
                  <w:tcW w:w="624" w:type="dxa"/>
                  <w:shd w:val="clear" w:color="auto" w:fill="FFFFFF"/>
                  <w:vAlign w:val="center"/>
                </w:tcPr>
                <w:p>
                  <w:pPr>
                    <w:spacing w:before="0" w:after="0" w:line="252" w:lineRule="auto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0</w:t>
                  </w:r>
                </w:p>
              </w:tc>
              <w:tc>
                <w:tcPr>
                  <w:tcW w:w="624" w:type="dxa"/>
                  <w:shd w:val="clear" w:color="auto" w:fill="FFFFFF"/>
                  <w:vAlign w:val="center"/>
                </w:tcPr>
                <w:p>
                  <w:pPr>
                    <w:spacing w:before="0" w:after="0" w:line="252" w:lineRule="auto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w="624" w:type="dxa"/>
                  <w:shd w:val="clear" w:color="auto" w:fill="FFFFFF"/>
                  <w:vAlign w:val="center"/>
                </w:tcPr>
                <w:p>
                  <w:pPr>
                    <w:spacing w:before="0" w:after="0" w:line="252" w:lineRule="auto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w="624" w:type="dxa"/>
                  <w:shd w:val="clear" w:color="auto" w:fill="FFFFFF"/>
                  <w:vAlign w:val="center"/>
                </w:tcPr>
                <w:p>
                  <w:pPr>
                    <w:spacing w:before="0" w:after="0" w:line="252" w:lineRule="auto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3</w:t>
                  </w:r>
                </w:p>
              </w:tc>
              <w:tc>
                <w:tcPr>
                  <w:tcW w:w="624" w:type="dxa"/>
                  <w:shd w:val="clear" w:color="auto" w:fill="FFFFFF"/>
                  <w:vAlign w:val="center"/>
                </w:tcPr>
                <w:p>
                  <w:pPr>
                    <w:spacing w:before="0" w:after="0" w:line="252" w:lineRule="auto"/>
                    <w:jc w:val="center"/>
                  </w:pPr>
                  <w:r>
                    <w:rPr>
                      <w:sz w:val="18"/>
                      <w:szCs w:val="18"/>
                    </w:rPr>
                    <w:t xml:space="preserve">4</w:t>
                  </w:r>
                </w:p>
              </w:tc>
            </w:tr>
            <w:tr>
              <w:trPr>
                <w:cantSplit/>
              </w:trPr>
              <w:tc>
                <w:tcPr>
                  <w:tcW w:w="907" w:type="dxa"/>
                  <w:shd w:val="clear" w:color="auto" w:fill="F0F0F0"/>
                  <w:vAlign w:val="center"/>
                </w:tcPr>
                <w:p>
                  <w:pPr>
                    <w:spacing w:before="0" w:after="0" w:line="252" w:lineRule="auto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Ters</w:t>
                  </w:r>
                </w:p>
              </w:tc>
              <w:tc>
                <w:tcPr>
                  <w:tcW w:w="624" w:type="dxa"/>
                  <w:shd w:val="clear" w:color="auto" w:fill="FFFFFF"/>
                  <w:vAlign w:val="center"/>
                </w:tcPr>
                <w:p>
                  <w:pPr>
                    <w:spacing w:before="0" w:after="0" w:line="252" w:lineRule="auto"/>
                    <w:jc w:val="center"/>
                  </w:pPr>
                  <w:r>
                    <w:rPr>
                      <w:b/>
                      <w:bCs/>
                      <w:color w:val="C0392B"/>
                      <w:sz w:val="18"/>
                      <w:szCs w:val="18"/>
                    </w:rPr>
                    <w:t xml:space="preserve">4</w:t>
                  </w:r>
                </w:p>
              </w:tc>
              <w:tc>
                <w:tcPr>
                  <w:tcW w:w="624" w:type="dxa"/>
                  <w:shd w:val="clear" w:color="auto" w:fill="FFFFFF"/>
                  <w:vAlign w:val="center"/>
                </w:tcPr>
                <w:p>
                  <w:pPr>
                    <w:spacing w:before="0" w:after="0" w:line="252" w:lineRule="auto"/>
                    <w:jc w:val="center"/>
                  </w:pPr>
                  <w:r>
                    <w:rPr>
                      <w:b/>
                      <w:bCs/>
                      <w:color w:val="C0392B"/>
                      <w:sz w:val="18"/>
                      <w:szCs w:val="18"/>
                    </w:rPr>
                    <w:t xml:space="preserve">3</w:t>
                  </w:r>
                </w:p>
              </w:tc>
              <w:tc>
                <w:tcPr>
                  <w:tcW w:w="624" w:type="dxa"/>
                  <w:shd w:val="clear" w:color="auto" w:fill="FFFFFF"/>
                  <w:vAlign w:val="center"/>
                </w:tcPr>
                <w:p>
                  <w:pPr>
                    <w:spacing w:before="0" w:after="0" w:line="252" w:lineRule="auto"/>
                    <w:jc w:val="center"/>
                  </w:pPr>
                  <w:r>
                    <w:rPr>
                      <w:b/>
                      <w:bCs/>
                      <w:color w:val="C0392B"/>
                      <w:sz w:val="18"/>
                      <w:szCs w:val="18"/>
                    </w:rPr>
                    <w:t xml:space="preserve">2</w:t>
                  </w:r>
                </w:p>
              </w:tc>
              <w:tc>
                <w:tcPr>
                  <w:tcW w:w="624" w:type="dxa"/>
                  <w:shd w:val="clear" w:color="auto" w:fill="FFFFFF"/>
                  <w:vAlign w:val="center"/>
                </w:tcPr>
                <w:p>
                  <w:pPr>
                    <w:spacing w:before="0" w:after="0" w:line="252" w:lineRule="auto"/>
                    <w:jc w:val="center"/>
                  </w:pPr>
                  <w:r>
                    <w:rPr>
                      <w:b/>
                      <w:bCs/>
                      <w:color w:val="C0392B"/>
                      <w:sz w:val="18"/>
                      <w:szCs w:val="18"/>
                    </w:rPr>
                    <w:t xml:space="preserve">1</w:t>
                  </w:r>
                </w:p>
              </w:tc>
              <w:tc>
                <w:tcPr>
                  <w:tcW w:w="624" w:type="dxa"/>
                  <w:shd w:val="clear" w:color="auto" w:fill="FFFFFF"/>
                  <w:vAlign w:val="center"/>
                </w:tcPr>
                <w:p>
                  <w:pPr>
                    <w:spacing w:before="0" w:after="0" w:line="252" w:lineRule="auto"/>
                    <w:jc w:val="center"/>
                  </w:pPr>
                  <w:r>
                    <w:rPr>
                      <w:b/>
                      <w:bCs/>
                      <w:color w:val="C0392B"/>
                      <w:sz w:val="18"/>
                      <w:szCs w:val="18"/>
                    </w:rPr>
                    <w:t xml:space="preserve">0</w:t>
                  </w:r>
                </w:p>
              </w:tc>
            </w:tr>
          </w:tbl>
          <w:p>
            <w:pPr>
              <w:spacing w:before="0" w:after="0" w:line="120" w:lineRule="exact"/>
            </w:pP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776"/>
        <w:gridCol w:w="3817"/>
        <w:gridCol w:w="954"/>
        <w:gridCol w:w="1648"/>
        <w:gridCol w:w="954"/>
      </w:tblGrid>
      <w:tr>
        <w:trPr>
          <w:cantSplit/>
          <w:tblHeader/>
        </w:trPr>
        <w:tc>
          <w:tcPr>
            <w:tcW w:w="10149" w:type="dxa"/>
            <w:gridSpan w:val="5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3. Alt Boyutlar ve Madde Dağılımı</w:t>
            </w:r>
          </w:p>
        </w:tc>
      </w:tr>
      <w:tr>
        <w:trPr>
          <w:cantSplit/>
          <w:tblHeader/>
        </w:trPr>
        <w:tc>
          <w:tcPr>
            <w:tcW w:w="2776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Alt Boyut</w:t>
            </w:r>
          </w:p>
        </w:tc>
        <w:tc>
          <w:tcPr>
            <w:tcW w:w="3817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Maddeler</w:t>
            </w:r>
          </w:p>
        </w:tc>
        <w:tc>
          <w:tcPr>
            <w:tcW w:w="954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Madde</w:t>
            </w:r>
          </w:p>
        </w:tc>
        <w:tc>
          <w:tcPr>
            <w:tcW w:w="1648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Puanlama</w:t>
            </w:r>
          </w:p>
        </w:tc>
        <w:tc>
          <w:tcPr>
            <w:tcW w:w="954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α</w:t>
            </w:r>
          </w:p>
        </w:tc>
      </w:tr>
      <w:tr>
        <w:trPr>
          <w:cantSplit/>
        </w:trPr>
        <w:tc>
          <w:tcPr>
            <w:tcW w:w="2776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Duygusal Tükenme (Emotional Exhaustion)</w:t>
            </w:r>
          </w:p>
        </w:tc>
        <w:tc>
          <w:tcPr>
            <w:tcW w:w="3817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1, 2, 3, 6, 8, 13, 14, 16, 20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9</w:t>
            </w:r>
          </w:p>
        </w:tc>
        <w:tc>
          <w:tcPr>
            <w:tcW w:w="1648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Toplam Puan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0,830</w:t>
            </w:r>
          </w:p>
        </w:tc>
      </w:tr>
      <w:tr>
        <w:trPr>
          <w:cantSplit/>
        </w:trPr>
        <w:tc>
          <w:tcPr>
            <w:tcW w:w="2776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Duyarsızlaşma (Depersonalization)</w:t>
            </w:r>
          </w:p>
        </w:tc>
        <w:tc>
          <w:tcPr>
            <w:tcW w:w="3817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5, 10, 11, 15, 22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5</w:t>
            </w:r>
          </w:p>
        </w:tc>
        <w:tc>
          <w:tcPr>
            <w:tcW w:w="1648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Toplam Puan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0,710</w:t>
            </w:r>
          </w:p>
        </w:tc>
      </w:tr>
      <w:tr>
        <w:trPr>
          <w:cantSplit/>
        </w:trPr>
        <w:tc>
          <w:tcPr>
            <w:tcW w:w="2776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Kişisel Başarı (Personal Accomplishment)</w:t>
            </w:r>
          </w:p>
        </w:tc>
        <w:tc>
          <w:tcPr>
            <w:tcW w:w="3817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4, 7, 9, 12, 17, 18, 19, 21 (ters: 4, 7, 9, 12, 17, 18, 19, 21)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8</w:t>
            </w:r>
          </w:p>
        </w:tc>
        <w:tc>
          <w:tcPr>
            <w:tcW w:w="1648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Toplam Puan</w:t>
            </w:r>
          </w:p>
        </w:tc>
        <w:tc>
          <w:tcPr>
            <w:tcW w:w="954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0,720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8" w:space="0" w:color="333A45"/>
          <w:left w:val="single" w:sz="8" w:space="0" w:color="333A45"/>
          <w:bottom w:val="single" w:sz="8" w:space="0" w:color="333A45"/>
          <w:right w:val="single" w:sz="8" w:space="0" w:color="333A45"/>
          <w:insideH w:val="single" w:sz="8" w:space="0" w:color="333A45"/>
          <w:insideV w:val="single" w:sz="8" w:space="0" w:color="333A45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  <w:tblHeader/>
        </w:trPr>
        <w:tc>
          <w:tcPr>
            <w:tcW w:w="10149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4. Puanlama Açıklaması</w:t>
            </w:r>
          </w:p>
        </w:tc>
      </w:tr>
      <w:tr>
        <w:trPr>
          <w:cantSplit/>
        </w:trPr>
        <w:tc>
          <w:tcPr>
            <w:tcW w:w="10149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20"/>
                <w:szCs w:val="20"/>
              </w:rPr>
              <w:t xml:space="preserve">Her alt boyut kendi içinde toplanır. Duygusal Tükenme ve Duyarsızlaşma alt boyutlarında yüksek puan, Kişisel Başarı alt boyutunda düşük puan tükenmişliğe işaret eder.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50" w:type="dxa"/>
        <w:tblBorders>
          <w:top w:val="single" w:sz="6" w:space="0" w:color="B8BDC7"/>
          <w:left w:val="single" w:sz="6" w:space="0" w:color="B8BDC7"/>
          <w:bottom w:val="single" w:sz="6" w:space="0" w:color="B8BDC7"/>
          <w:right w:val="single" w:sz="6" w:space="0" w:color="B8BDC7"/>
          <w:insideH w:val="single" w:sz="6" w:space="0" w:color="B8BDC7"/>
          <w:insideV w:val="single" w:sz="6" w:space="0" w:color="B8BDC7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2275"/>
        <w:gridCol w:w="1050"/>
        <w:gridCol w:w="2450"/>
        <w:gridCol w:w="4375"/>
      </w:tblGrid>
      <w:tr>
        <w:trPr>
          <w:cantSplit/>
          <w:tblHeader/>
        </w:trPr>
        <w:tc>
          <w:tcPr>
            <w:tcW w:w="10150" w:type="dxa"/>
            <w:gridSpan w:val="4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5. Güvenilirlik</w:t>
            </w:r>
          </w:p>
        </w:tc>
      </w:tr>
      <w:tr>
        <w:trPr>
          <w:cantSplit/>
          <w:tblHeader/>
        </w:trPr>
        <w:tc>
          <w:tcPr>
            <w:tcW w:w="2275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Tür</w:t>
            </w:r>
          </w:p>
        </w:tc>
        <w:tc>
          <w:tcPr>
            <w:tcW w:w="1050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Değer</w:t>
            </w:r>
          </w:p>
        </w:tc>
        <w:tc>
          <w:tcPr>
            <w:tcW w:w="2450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Alt Boyut</w:t>
            </w:r>
          </w:p>
        </w:tc>
        <w:tc>
          <w:tcPr>
            <w:tcW w:w="4375" w:type="dxa"/>
            <w:shd w:val="clear" w:color="auto" w:fill="F0F0F0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Açıklama</w:t>
            </w:r>
          </w:p>
        </w:tc>
      </w:tr>
      <w:tr>
        <w:trPr>
          <w:cantSplit/>
        </w:trPr>
        <w:tc>
          <w:tcPr>
            <w:tcW w:w="22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Cronbach Alpha</w:t>
            </w:r>
          </w:p>
        </w:tc>
        <w:tc>
          <w:tcPr>
            <w:tcW w:w="1050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0,830</w:t>
            </w:r>
          </w:p>
        </w:tc>
        <w:tc>
          <w:tcPr>
            <w:tcW w:w="245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Duygusal Tükenme</w:t>
            </w:r>
          </w:p>
        </w:tc>
        <w:tc>
          <w:tcPr>
            <w:tcW w:w="4375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Duygusal Tükenme alt boyutu</w:t>
            </w:r>
          </w:p>
        </w:tc>
      </w:tr>
      <w:tr>
        <w:trPr>
          <w:cantSplit/>
        </w:trPr>
        <w:tc>
          <w:tcPr>
            <w:tcW w:w="22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Cronbach Alpha</w:t>
            </w:r>
          </w:p>
        </w:tc>
        <w:tc>
          <w:tcPr>
            <w:tcW w:w="1050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0,710</w:t>
            </w:r>
          </w:p>
        </w:tc>
        <w:tc>
          <w:tcPr>
            <w:tcW w:w="245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Duyarsızlaşma</w:t>
            </w:r>
          </w:p>
        </w:tc>
        <w:tc>
          <w:tcPr>
            <w:tcW w:w="4375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Duyarsızlaşma alt boyutu</w:t>
            </w:r>
          </w:p>
        </w:tc>
      </w:tr>
      <w:tr>
        <w:trPr>
          <w:cantSplit/>
        </w:trPr>
        <w:tc>
          <w:tcPr>
            <w:tcW w:w="22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Cronbach Alpha</w:t>
            </w:r>
          </w:p>
        </w:tc>
        <w:tc>
          <w:tcPr>
            <w:tcW w:w="1050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0,720</w:t>
            </w:r>
          </w:p>
        </w:tc>
        <w:tc>
          <w:tcPr>
            <w:tcW w:w="245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Kişisel Başarı</w:t>
            </w:r>
          </w:p>
        </w:tc>
        <w:tc>
          <w:tcPr>
            <w:tcW w:w="4375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Kişisel Başarı alt boyutu</w:t>
            </w:r>
          </w:p>
        </w:tc>
      </w:tr>
      <w:tr>
        <w:trPr>
          <w:cantSplit/>
        </w:trPr>
        <w:tc>
          <w:tcPr>
            <w:tcW w:w="2275" w:type="dxa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sz w:val="19"/>
                <w:szCs w:val="19"/>
              </w:rPr>
              <w:t xml:space="preserve">Test-Tekrar</w:t>
            </w:r>
          </w:p>
        </w:tc>
        <w:tc>
          <w:tcPr>
            <w:tcW w:w="1050" w:type="dxa"/>
            <w:vAlign w:val="center"/>
          </w:tcPr>
          <w:p>
            <w:pPr>
              <w:spacing w:before="0" w:after="0" w:line="252" w:lineRule="auto"/>
              <w:jc w:val="center"/>
            </w:pPr>
            <w:r>
              <w:rPr>
                <w:sz w:val="19"/>
                <w:szCs w:val="19"/>
              </w:rPr>
              <w:t xml:space="preserve">0,830</w:t>
            </w:r>
          </w:p>
        </w:tc>
        <w:tc>
          <w:tcPr>
            <w:tcW w:w="2450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Genel</w:t>
            </w:r>
          </w:p>
        </w:tc>
        <w:tc>
          <w:tcPr>
            <w:tcW w:w="4375" w:type="dxa"/>
            <w:vAlign w:val="center"/>
          </w:tcPr>
          <w:p>
            <w:pPr>
              <w:spacing w:before="0" w:after="0" w:line="252" w:lineRule="auto"/>
            </w:pPr>
            <w:r>
              <w:rPr>
                <w:sz w:val="19"/>
                <w:szCs w:val="19"/>
              </w:rPr>
              <w:t xml:space="preserve">2 hafta arayla test-tekrar güvenilirliği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tbl>
      <w:tblPr>
        <w:tblW w:w="10149" w:type="dxa"/>
        <w:tblBorders>
          <w:top w:val="single" w:sz="8" w:space="0" w:color="333A45"/>
          <w:left w:val="single" w:sz="8" w:space="0" w:color="333A45"/>
          <w:bottom w:val="single" w:sz="8" w:space="0" w:color="333A45"/>
          <w:right w:val="single" w:sz="8" w:space="0" w:color="333A45"/>
          <w:insideH w:val="single" w:sz="8" w:space="0" w:color="333A45"/>
          <w:insideV w:val="single" w:sz="8" w:space="0" w:color="333A45"/>
        </w:tblBorders>
        <w:tblLayout w:type="fixed"/>
        <w:tblCellMar>
          <w:top w:w="45" w:type="dxa"/>
          <w:left w:w="90" w:type="dxa"/>
          <w:bottom w:w="45" w:type="dxa"/>
          <w:right w:w="90" w:type="dxa"/>
        </w:tblCellMar>
        <w:tblLook w:val="0000"/>
      </w:tblPr>
      <w:tblGrid>
        <w:gridCol w:w="10149"/>
      </w:tblGrid>
      <w:tr>
        <w:trPr>
          <w:cantSplit/>
          <w:tblHeader/>
        </w:trPr>
        <w:tc>
          <w:tcPr>
            <w:tcW w:w="10149" w:type="dxa"/>
            <w:shd w:val="clear" w:color="auto" w:fill="333A45"/>
            <w:vAlign w:val="center"/>
          </w:tcPr>
          <w:p>
            <w:pPr>
              <w:spacing w:before="0" w:after="0" w:line="252" w:lineRule="auto"/>
            </w:pPr>
            <w:r>
              <w:rPr>
                <w:b/>
                <w:bCs/>
                <w:color w:val="FFFFFF"/>
              </w:rPr>
              <w:t xml:space="preserve">6. Hesaplama Adımları</w:t>
            </w:r>
          </w:p>
        </w:tc>
      </w:tr>
      <w:tr>
        <w:trPr>
          <w:cantSplit/>
        </w:trPr>
        <w:tc>
          <w:tcPr>
            <w:tcW w:w="10149" w:type="dxa"/>
            <w:vAlign w:val="center"/>
          </w:tcPr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1: </w:t>
            </w:r>
            <w:r>
              <w:t xml:space="preserve">Ters kodlanan maddelerin (M4, M7, M9, M12, M17, M18, M19, M21) puanlarını çevirin: ters puan = 4 − verilen puan.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2: </w:t>
            </w:r>
            <w:r>
              <w:t xml:space="preserve">Her alt boyut için ilgili maddelerin puanlarını toplayın (madde dağılımı yukarıdaki tabloda).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3: </w:t>
            </w:r>
            <w:r>
              <w:t xml:space="preserve">Tüm maddelerin (ters çevrilmiş hâlleriyle) puanlarını toplayarak genel puanı hesaplayın.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4: </w:t>
            </w:r>
            <w:r>
              <w:t xml:space="preserve">Puanları yorumlarken puanlama açıklamasına bakın; aksi belirtilmedikçe yüksek puan ölçülen özelliğin yüksek düzeyde olduğunu gösterir.</w:t>
            </w:r>
          </w:p>
          <w:p>
            <w:pPr>
              <w:spacing w:before="0" w:after="60" w:line="300" w:lineRule="auto"/>
            </w:pPr>
            <w:r>
              <w:rPr>
                <w:b/>
                <w:bCs/>
              </w:rPr>
              <w:t xml:space="preserve">Adım 5: </w:t>
            </w:r>
            <w:r>
              <w:t xml:space="preserve">Çok sayıda katılımcının puanı için Excel dosyasındaki "Veri Girişi" sayfasını ya da zaferhoca.com.tr/olcek-puan-hesaplayici aracını kullanabilirsiniz.</w:t>
            </w:r>
          </w:p>
        </w:tc>
      </w:tr>
    </w:tbl>
    <w:p>
      <w:pPr>
        <w:spacing w:before="0" w:after="80" w:line="264" w:lineRule="auto"/>
      </w:pPr>
      <w:r>
        <w:t xml:space="preserve"/>
      </w:r>
    </w:p>
    <w:p>
      <w:pPr>
        <w:spacing w:before="120" w:after="40" w:line="264" w:lineRule="auto"/>
      </w:pPr>
      <w:r>
        <w:rPr>
          <w:b/>
          <w:bCs/>
          <w:color w:val="777777"/>
          <w:sz w:val="17"/>
          <w:szCs w:val="17"/>
        </w:rPr>
        <w:t xml:space="preserve">Kaynak: </w:t>
      </w:r>
      <w:r>
        <w:rPr>
          <w:color w:val="777777"/>
          <w:sz w:val="17"/>
          <w:szCs w:val="17"/>
        </w:rPr>
        <w:t xml:space="preserve">Ergin, C. (1996). Maslach Tükenmişlik Ölçeğinin Türkiye sağlık personeli normları. 3P Dergisi, 4(1), 28-33.</w:t>
      </w:r>
    </w:p>
    <w:p>
      <w:pPr>
        <w:spacing w:before="0" w:after="40" w:line="264" w:lineRule="auto"/>
      </w:pPr>
      <w:r>
        <w:rPr>
          <w:i/>
          <w:iCs/>
          <w:color w:val="888888"/>
          <w:sz w:val="16"/>
          <w:szCs w:val="16"/>
        </w:rPr>
        <w:t xml:space="preserve">Bu form bilgilendirme amaçlıdır. Ölçeği araştırmanızda kullanmadan önce özgün kaynağı inceleyin ve gerekiyorsa ölçeği geliştiren/uyarlayan yazar(lar)dan izin alın.</w:t>
      </w:r>
    </w:p>
    <w:p>
      <w:pPr>
        <w:spacing w:before="0" w:after="0" w:line="264" w:lineRule="auto"/>
      </w:pPr>
      <w:hyperlink r:id="rIdL1" w:history="1">
        <w:r>
          <w:rPr>
            <w:color w:val="AAAAAA"/>
            <w:sz w:val="16"/>
            <w:szCs w:val="16"/>
            <w:u w:val="single"/>
          </w:rPr>
          <w:t xml:space="preserve">AkademiPedia Ölçek Arama Motoru • zaferhoca.com.tr/olcek-arama-motoru/maslach-tukenmislik-olcegi • 28.10.2026</w:t>
        </w:r>
      </w:hyperlink>
    </w:p>
    <w:sectPr>
      <w:footerReference w:type="default" r:id="rIdF1"/>
      <w:pgSz w:w="11906" w:h="16838"/>
      <w:pgMar w:top="1021" w:right="907" w:bottom="1134" w:left="907" w:header="567" w:footer="51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4" w:color="D0D5DD"/>
      </w:pBdr>
      <w:tabs>
        <w:tab w:val="right" w:pos="10092"/>
      </w:tabs>
      <w:spacing w:after="0"/>
    </w:pPr>
    <w:r>
      <w:rPr>
        <w:color w:val="8A8F98"/>
        <w:sz w:val="15"/>
      </w:rPr>
      <w:t xml:space="preserve">AkademiPedia Ölçek Arama Motoru · zaferhoca.com.tr</w:t>
    </w:r>
    <w:r>
      <w:rPr>
        <w:color w:val="8A8F98"/>
        <w:sz w:val="15"/>
      </w:rPr>
      <w:tab/>
      <w:t xml:space="preserve">Sayfa </w:t>
    </w:r>
    <w:fldSimple w:instr=" PAGE ">
      <w:r>
        <w:rPr>
          <w:color w:val="8A8F98"/>
          <w:sz w:val="15"/>
        </w:rPr>
        <w:t>1</w:t>
      </w:r>
    </w:fldSimple>
    <w:r>
      <w:rPr>
        <w:color w:val="8A8F98"/>
        <w:sz w:val="15"/>
      </w:rPr>
      <w:t xml:space="preserve"> / </w:t>
    </w:r>
    <w:fldSimple w:instr=" NUMPAGES ">
      <w:r>
        <w:rPr>
          <w:color w:val="8A8F98"/>
          <w:sz w:val="15"/>
        </w:rPr>
        <w:t>1</w:t>
      </w:r>
    </w:fldSimple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color w:val="2B2F36"/>
        <w:sz w:val="21"/>
        <w:szCs w:val="21"/>
        <w:lang w:val="tr-TR" w:eastAsia="tr-TR" w:bidi="ar-SA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1E3C7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1" Type="http://schemas.openxmlformats.org/officeDocument/2006/relationships/styles" Target="styles.xml"/><Relationship Id="rIdS2" Type="http://schemas.openxmlformats.org/officeDocument/2006/relationships/settings" Target="settings.xml"/><Relationship Id="rIdF1" Type="http://schemas.openxmlformats.org/officeDocument/2006/relationships/footer" Target="footer1.xml"/><Relationship Id="rIdL1" Type="http://schemas.openxmlformats.org/officeDocument/2006/relationships/hyperlink" Target="https://www.zaferhoca.com.tr/olcek-arama-motoru/maslach-tukenmislik-olcegi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zaferhoca.com.tr</Application>
  <Company>Zafer Hoca Dil Akademisi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Maslach Tükenmişlik Ölçeği (MBI) — Uygulama Formu ve Puanlama Kılavuzu</dc:title>
  <dc:subject>Ölçek uygulama formu ve puanlama kılavuzu</dc:subject>
  <dc:creator>Zafer Hoca Dil Akademisi</dc:creator>
  <cp:keywords>ölçek, Maslach Tükenmişlik Ölçeği</cp:keywords>
  <dc:language>tr-TR</dc:language>
  <cp:lastModifiedBy>zaferhoca.com.tr</cp:lastModifiedBy>
  <dcterms:created xsi:type="dcterms:W3CDTF">2026-10-28T02:00:03Z</dcterms:created>
  <dcterms:modified xsi:type="dcterms:W3CDTF">2026-10-28T02:00:03Z</dcterms:modified>
</cp:coreProperties>
</file>