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  <w:jc w:val="center"/>
      </w:pPr>
      <w:r>
        <w:rPr>
          <w:b/>
          <w:bCs/>
          <w:sz w:val="32"/>
          <w:szCs w:val="32"/>
        </w:rPr>
        <w:t xml:space="preserve">İstatistik Kaygı Ölçeği</w:t>
      </w:r>
    </w:p>
    <w:p>
      <w:pPr>
        <w:spacing w:before="0" w:after="40" w:line="264" w:lineRule="auto"/>
        <w:jc w:val="center"/>
      </w:pPr>
      <w:r>
        <w:rPr>
          <w:b/>
          <w:bCs/>
          <w:color w:val="555555"/>
          <w:sz w:val="22"/>
          <w:szCs w:val="22"/>
        </w:rPr>
        <w:t xml:space="preserve">(SAS)</w:t>
      </w:r>
    </w:p>
    <w:p>
      <w:pPr>
        <w:pBdr>
          <w:bottom w:val="single" w:sz="12" w:space="4" w:color="222222"/>
        </w:pBdr>
        <w:spacing w:before="0" w:after="200" w:line="264" w:lineRule="auto"/>
        <w:jc w:val="center"/>
      </w:pPr>
      <w:r>
        <w:rPr>
          <w:i/>
          <w:iCs/>
          <w:color w:val="999999"/>
          <w:sz w:val="18"/>
          <w:szCs w:val="18"/>
        </w:rPr>
        <w:t xml:space="preserve">Statistics Anxiety Scale</w:t>
      </w:r>
    </w:p>
    <w:tbl>
      <w:tblPr>
        <w:tblW w:w="101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075"/>
        <w:gridCol w:w="5075"/>
      </w:tblGrid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Ad Soyad / Kod: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Tarih: </w:t>
            </w:r>
            <w:r>
              <w:rPr>
                <w:color w:val="666666"/>
              </w:rPr>
              <w:t xml:space="preserve">……/……/…………</w:t>
            </w:r>
          </w:p>
        </w:tc>
      </w:tr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Yaş: </w:t>
            </w:r>
            <w:r>
              <w:rPr>
                <w:color w:val="666666"/>
              </w:rPr>
              <w:t xml:space="preserve">………   </w:t>
            </w:r>
            <w:r>
              <w:rPr>
                <w:b/>
                <w:bCs/>
              </w:rPr>
              <w:t xml:space="preserve">Cinsiyet: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Kadın 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Erkek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Eğitim: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  <w:insideH w:val="single" w:sz="12" w:space="0" w:color="333333"/>
          <w:insideV w:val="single" w:sz="12" w:space="0" w:color="333333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</w:trPr>
        <w:tc>
          <w:tcPr>
            <w:tcW w:w="10149" w:type="dxa"/>
            <w:shd w:val="clear" w:color="auto" w:fill="F5F5F5"/>
            <w:vAlign w:val="center"/>
          </w:tcPr>
          <w:p>
            <w:pPr>
              <w:spacing w:before="0" w:after="80" w:line="264" w:lineRule="auto"/>
            </w:pPr>
            <w:r>
              <w:rPr>
                <w:b/>
                <w:bCs/>
                <w:sz w:val="22"/>
                <w:szCs w:val="22"/>
              </w:rPr>
              <w:t xml:space="preserve">YÖNERGE</w:t>
            </w:r>
            <w:r>
              <w:rPr>
                <w:sz w:val="20"/>
                <w:szCs w:val="20"/>
              </w:rPr>
              <w:t xml:space="preserve"/>
              <w:br/>
              <w:t xml:space="preserve">Aşağıdaki ifadeleri okuyunuz ve size en uygun seçeneği (X) ile işaretleyiniz.</w:t>
            </w:r>
          </w:p>
          <w:tbl>
            <w:tblPr>
              <w:tblW w:w="7370" w:type="dxa"/>
              <w:jc w:val="center"/>
              <w:tblBorders>
                <w:top w:val="single" w:sz="8" w:space="0" w:color="CCCCCC"/>
                <w:left w:val="single" w:sz="8" w:space="0" w:color="CCCCCC"/>
                <w:bottom w:val="single" w:sz="8" w:space="0" w:color="CCCCCC"/>
                <w:right w:val="single" w:sz="8" w:space="0" w:color="CCCCCC"/>
                <w:insideH w:val="single" w:sz="8" w:space="0" w:color="CCCCCC"/>
                <w:insideV w:val="single" w:sz="8" w:space="0" w:color="CCCCCC"/>
              </w:tblBorders>
              <w:tblLayout w:type="fixed"/>
              <w:tblCellMar>
                <w:top w:w="45" w:type="dxa"/>
                <w:left w:w="90" w:type="dxa"/>
                <w:bottom w:w="45" w:type="dxa"/>
                <w:right w:w="90" w:type="dxa"/>
              </w:tblCellMar>
              <w:tblLook w:val="0000"/>
            </w:tblPr>
            <w:tblGrid>
              <w:gridCol w:w="1474"/>
              <w:gridCol w:w="1474"/>
              <w:gridCol w:w="1474"/>
              <w:gridCol w:w="1474"/>
              <w:gridCol w:w="1474"/>
            </w:tblGrid>
            <w:tr>
              <w:trPr>
                <w:cantSplit/>
              </w:trPr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Kaygılanmam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2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Az kaygılanırım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3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Orta düzeyde kaygılanırım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4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Fazla kaygılanırım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5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Çok fazla kaygılanırım</w:t>
                  </w:r>
                </w:p>
              </w:tc>
            </w:tr>
          </w:tbl>
          <w:p>
            <w:pPr>
              <w:spacing w:before="0" w:after="0" w:line="120" w:lineRule="exact"/>
            </w:pP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8" w:type="dxa"/>
        <w:tblBorders>
          <w:top w:val="single" w:sz="6" w:space="0" w:color="9A9FAA"/>
          <w:left w:val="single" w:sz="6" w:space="0" w:color="9A9FAA"/>
          <w:bottom w:val="single" w:sz="6" w:space="0" w:color="9A9FAA"/>
          <w:right w:val="single" w:sz="6" w:space="0" w:color="9A9FAA"/>
          <w:insideH w:val="single" w:sz="6" w:space="0" w:color="9A9FAA"/>
          <w:insideV w:val="single" w:sz="6" w:space="0" w:color="9A9FAA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67"/>
        <w:gridCol w:w="5046"/>
        <w:gridCol w:w="907"/>
        <w:gridCol w:w="907"/>
        <w:gridCol w:w="907"/>
        <w:gridCol w:w="907"/>
        <w:gridCol w:w="907"/>
      </w:tblGrid>
      <w:tr>
        <w:trPr>
          <w:cantSplit/>
          <w:tblHeader/>
        </w:trPr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</w:t>
            </w:r>
          </w:p>
        </w:tc>
        <w:tc>
          <w:tcPr>
            <w:tcW w:w="5046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İfade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Kaygılanmam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(1)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Az kaygılanırım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(2)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Orta düzeyde kaygılanırım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(3)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Fazla kaygılanırım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(4)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Çok fazla kaygılanırım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(5)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Bir istatistik dersinin sınavı için çalışırken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Bir ders kitabındaki/ders notundaki tablonun anlamını yorumlarken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İstatistik hocasından anlamakta zorlandığım bir ders kitabı/ders notu hakkında bireysel yardım isterken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Sınavdan bir gün önce, kolay sandığım bazı soruları yapamadığımı fark ettiğim zaman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6.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Bir olasılık tablosunun (z, t, ki kare vb.) nasıl kullanılacağını dersin hocasına sorduğum zaman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7.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Bir matematiksel formülü anlamaya çalışırken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8.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Bir istatistik dersinin final sınavındayken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9.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Bir otomobil reklamında yakıt tüketimi, yasal düzenlemelere uygunluk vb. özelliklerle ilgili şekilleri/oranları incelerken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10.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İstatistik sınavı olmak için sınıfa doğru giderken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11.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İstatistikle ilgili bir alıştırmanın nasıl yapılacağını dersin hocasına sorarken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12.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Derste işlediğimiz tüm konuları gözden geçirmeden sınavdan önceki gün geldiğinde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13.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İstatistik sınavının olacağı günün sabahında uyandığımda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14.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Sınava girmeden hemen önce belli bir konuya hazırlanmadığımı fark ettiğimde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15.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İstatistik hocamın tahtaya yazılan matematiksel bir alıştırmayı açıkladığı esnada onu deftere geçirirken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16.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İstatistiksel bir analizin sonuç çıktısını anlamak için istatistik hocamdan yardım istediğimde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17.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Bir şans oyununda (piyango, zar vb.) kazanma olasılıklarını anlamaya çalışırken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18.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Çözdüğü bir problemin sonuç tablosunu dikkatle inceleyen bir sınıf arkadaşımı gördüğümde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19.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Çalışmak için yeterince zaman bulamadan bir istatistik sınavına girdiğimde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20.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Bir istatistiksel sonuç tablosunu yorumlamak için istatistik hocamdan yardım istediğimde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21.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Bir gazete, kitap, makale vb. kaynakta yer alan istatistiksel analizleri anlamaya çalışırken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22.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Soru sormak için istatistik hocamın odasına giderken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23.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Bir istatistiksel alıştırmanın nasıl yapılacağını anlatması için bir istatistik uzmanından ücret karşılığı yardım istediğimde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24.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Bir istatistiksel alıştırmanın nasıl yapılacağını anlatması için bir istatistik uzmanından ücret karşılığı yardım istediğimde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pageBreakBefore/>
        <w:spacing w:before="0" w:after="40" w:line="264" w:lineRule="auto"/>
        <w:jc w:val="center"/>
      </w:pPr>
      <w:r>
        <w:rPr>
          <w:b/>
          <w:bCs/>
          <w:sz w:val="28"/>
          <w:szCs w:val="28"/>
        </w:rPr>
        <w:t xml:space="preserve">PUANLAMA VE HESAPLAMA KILAVUZU</w:t>
      </w:r>
    </w:p>
    <w:p>
      <w:pPr>
        <w:spacing w:before="0" w:after="160" w:line="264" w:lineRule="auto"/>
        <w:jc w:val="center"/>
      </w:pPr>
      <w:r>
        <w:rPr>
          <w:color w:val="888888"/>
          <w:sz w:val="20"/>
          <w:szCs w:val="20"/>
        </w:rPr>
        <w:t xml:space="preserve">İstatistik Kaygı Ölçeği (SAS)</w:t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608"/>
        <w:gridCol w:w="7541"/>
      </w:tblGrid>
      <w:tr>
        <w:trPr>
          <w:cantSplit/>
          <w:tblHeader/>
        </w:trPr>
        <w:tc>
          <w:tcPr>
            <w:tcW w:w="10149" w:type="dxa"/>
            <w:gridSpan w:val="2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1. Ölçek Genel Bilgileri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Ölçek Tipi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Likert (5'li)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Madde Sayısı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23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Alt Boyut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Puanlama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Toplam Puan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Cronbach 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0,934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Hedef Kitle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Üniversite öğrencileri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Cevap Seçenekleri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 = Kaygılanmam, 2 = Az kaygılanırım, 3 = Orta düzeyde kaygılanırım, 4 = Fazla kaygılanırım, 5 = Çok fazla kaygılanırım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 Aralığı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23 – 115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Örneklem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n = 439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Özgün Ölçek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Statistics Anxiety Scale — Vigil-Colet, A., Lorenzo-Seva, U., &amp; Condon, L. (2008)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776"/>
        <w:gridCol w:w="3817"/>
        <w:gridCol w:w="954"/>
        <w:gridCol w:w="1648"/>
        <w:gridCol w:w="954"/>
      </w:tblGrid>
      <w:tr>
        <w:trPr>
          <w:cantSplit/>
          <w:tblHeader/>
        </w:trPr>
        <w:tc>
          <w:tcPr>
            <w:tcW w:w="10149" w:type="dxa"/>
            <w:gridSpan w:val="5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2. Alt Boyutlar ve Madde Dağılımı</w:t>
            </w:r>
          </w:p>
        </w:tc>
      </w:tr>
      <w:tr>
        <w:trPr>
          <w:cantSplit/>
          <w:tblHeader/>
        </w:trPr>
        <w:tc>
          <w:tcPr>
            <w:tcW w:w="2776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Alt Boyut</w:t>
            </w:r>
          </w:p>
        </w:tc>
        <w:tc>
          <w:tcPr>
            <w:tcW w:w="3817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Maddeler</w:t>
            </w:r>
          </w:p>
        </w:tc>
        <w:tc>
          <w:tcPr>
            <w:tcW w:w="954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Madde</w:t>
            </w:r>
          </w:p>
        </w:tc>
        <w:tc>
          <w:tcPr>
            <w:tcW w:w="1648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Puanlama</w:t>
            </w:r>
          </w:p>
        </w:tc>
        <w:tc>
          <w:tcPr>
            <w:tcW w:w="954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α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Sınav Kaygısı (Examination Anxiety)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1, 4, 9, 11, 13, 14, 15, 20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Toplam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0,912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Yardım İsteme Kaygısı (Asking for Help Anxiety)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3, 7, 12, 17, 21, 23, 24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Toplam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0,920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Yorumlama Kaygısı (Interpretation Anxiety)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2, 6, 8, 10, 16, 18, 19, 22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Toplam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0,874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3. Puanlama Açıklaması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Ölçekten alınabilecek puanlar 23 ile 115 arasında değişmektedir. Düşük puanlar az kaygıyı, yüksek puanlar yüksek kaygı düzeyini göstermektedir.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50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275"/>
        <w:gridCol w:w="1050"/>
        <w:gridCol w:w="2450"/>
        <w:gridCol w:w="4375"/>
      </w:tblGrid>
      <w:tr>
        <w:trPr>
          <w:cantSplit/>
          <w:tblHeader/>
        </w:trPr>
        <w:tc>
          <w:tcPr>
            <w:tcW w:w="10150" w:type="dxa"/>
            <w:gridSpan w:val="4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4. Güvenilirlik</w:t>
            </w:r>
          </w:p>
        </w:tc>
      </w:tr>
      <w:tr>
        <w:trPr>
          <w:cantSplit/>
          <w:tblHeader/>
        </w:trPr>
        <w:tc>
          <w:tcPr>
            <w:tcW w:w="2275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Tür</w:t>
            </w:r>
          </w:p>
        </w:tc>
        <w:tc>
          <w:tcPr>
            <w:tcW w:w="1050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Değer</w:t>
            </w:r>
          </w:p>
        </w:tc>
        <w:tc>
          <w:tcPr>
            <w:tcW w:w="2450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Alt Boyut</w:t>
            </w:r>
          </w:p>
        </w:tc>
        <w:tc>
          <w:tcPr>
            <w:tcW w:w="4375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</w:trPr>
        <w:tc>
          <w:tcPr>
            <w:tcW w:w="22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Cronbach Alpha</w:t>
            </w:r>
          </w:p>
        </w:tc>
        <w:tc>
          <w:tcPr>
            <w:tcW w:w="1050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0,934</w:t>
            </w:r>
          </w:p>
        </w:tc>
        <w:tc>
          <w:tcPr>
            <w:tcW w:w="245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Genel</w:t>
            </w:r>
          </w:p>
        </w:tc>
        <w:tc>
          <w:tcPr>
            <w:tcW w:w="4375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Genel</w:t>
            </w:r>
          </w:p>
        </w:tc>
      </w:tr>
      <w:tr>
        <w:trPr>
          <w:cantSplit/>
        </w:trPr>
        <w:tc>
          <w:tcPr>
            <w:tcW w:w="22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Cronbach Alpha</w:t>
            </w:r>
          </w:p>
        </w:tc>
        <w:tc>
          <w:tcPr>
            <w:tcW w:w="1050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0,912</w:t>
            </w:r>
          </w:p>
        </w:tc>
        <w:tc>
          <w:tcPr>
            <w:tcW w:w="245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Sınav Kaygısı</w:t>
            </w:r>
          </w:p>
        </w:tc>
        <w:tc>
          <w:tcPr>
            <w:tcW w:w="4375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Sınav Kaygısı</w:t>
            </w:r>
          </w:p>
        </w:tc>
      </w:tr>
      <w:tr>
        <w:trPr>
          <w:cantSplit/>
        </w:trPr>
        <w:tc>
          <w:tcPr>
            <w:tcW w:w="22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Cronbach Alpha</w:t>
            </w:r>
          </w:p>
        </w:tc>
        <w:tc>
          <w:tcPr>
            <w:tcW w:w="1050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0,920</w:t>
            </w:r>
          </w:p>
        </w:tc>
        <w:tc>
          <w:tcPr>
            <w:tcW w:w="245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Yardım İsteme Kaygısı</w:t>
            </w:r>
          </w:p>
        </w:tc>
        <w:tc>
          <w:tcPr>
            <w:tcW w:w="4375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Yardım İsteme Kaygısı</w:t>
            </w:r>
          </w:p>
        </w:tc>
      </w:tr>
      <w:tr>
        <w:trPr>
          <w:cantSplit/>
        </w:trPr>
        <w:tc>
          <w:tcPr>
            <w:tcW w:w="22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Cronbach Alpha</w:t>
            </w:r>
          </w:p>
        </w:tc>
        <w:tc>
          <w:tcPr>
            <w:tcW w:w="1050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0,874</w:t>
            </w:r>
          </w:p>
        </w:tc>
        <w:tc>
          <w:tcPr>
            <w:tcW w:w="245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Yorumlama Kaygısı</w:t>
            </w:r>
          </w:p>
        </w:tc>
        <w:tc>
          <w:tcPr>
            <w:tcW w:w="4375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Yorumlama Kaygısı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5. Hesaplama Adımları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1: </w:t>
            </w:r>
            <w:r>
              <w:t xml:space="preserve">Her alt boyut için ilgili maddelerin puanlarını toplayın (madde dağılımı yukarıdaki tabloda).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2: </w:t>
            </w:r>
            <w:r>
              <w:t xml:space="preserve">Tüm maddelerin puanlarını toplayarak genel puanı hesaplayın.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3: </w:t>
            </w:r>
            <w:r>
              <w:t xml:space="preserve">Puanları yorumlarken puanlama açıklamasına bakın; aksi belirtilmedikçe yüksek puan ölçülen özelliğin yüksek düzeyde olduğunu gösterir.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4: </w:t>
            </w:r>
            <w:r>
              <w:t xml:space="preserve">Çok sayıda katılımcının puanı için Excel dosyasındaki "Veri Girişi" sayfasını ya da zaferhoca.com.tr/olcek-puan-hesaplayici aracını kullanabilirsiniz.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120" w:after="40" w:line="264" w:lineRule="auto"/>
      </w:pPr>
      <w:r>
        <w:rPr>
          <w:b/>
          <w:bCs/>
          <w:color w:val="777777"/>
          <w:sz w:val="17"/>
          <w:szCs w:val="17"/>
        </w:rPr>
        <w:t xml:space="preserve">Kaynak: </w:t>
      </w:r>
      <w:r>
        <w:rPr>
          <w:color w:val="777777"/>
          <w:sz w:val="17"/>
          <w:szCs w:val="17"/>
        </w:rPr>
        <w:t xml:space="preserve">İsmail Durak, Yalçın Karagöz. (2021). İstatistik Kaygı Ölçeği. International Journal of Assessment Tools in Education. DOI: 10.21449/ijate.863225</w:t>
      </w:r>
      <w:hyperlink r:id="rIdL1" w:history="1">
        <w:r>
          <w:rPr>
            <w:color w:val="4361EE"/>
            <w:sz w:val="17"/>
            <w:szCs w:val="17"/>
            <w:u w:val="single"/>
          </w:rPr>
          <w:t xml:space="preserve">  DOI: 10.21449/ijate.863225</w:t>
        </w:r>
      </w:hyperlink>
    </w:p>
    <w:p>
      <w:pPr>
        <w:spacing w:before="0" w:after="40" w:line="264" w:lineRule="auto"/>
      </w:pPr>
      <w:r>
        <w:rPr>
          <w:i/>
          <w:iCs/>
          <w:color w:val="888888"/>
          <w:sz w:val="16"/>
          <w:szCs w:val="16"/>
        </w:rPr>
        <w:t xml:space="preserve">Bu form bilgilendirme amaçlıdır. Ölçeği araştırmanızda kullanmadan önce özgün kaynağı inceleyin ve gerekiyorsa ölçeği geliştiren/uyarlayan yazar(lar)dan izin alın.</w:t>
      </w:r>
    </w:p>
    <w:p>
      <w:pPr>
        <w:spacing w:before="0" w:after="0" w:line="264" w:lineRule="auto"/>
      </w:pPr>
      <w:hyperlink r:id="rIdL2" w:history="1">
        <w:r>
          <w:rPr>
            <w:color w:val="AAAAAA"/>
            <w:sz w:val="16"/>
            <w:szCs w:val="16"/>
            <w:u w:val="single"/>
          </w:rPr>
          <w:t xml:space="preserve">AkademiPedia Ölçek Arama Motoru • zaferhoca.com.tr/olcek-arama-motoru/istatistik-kaygi-olcegi • 28.10.2026</w:t>
        </w:r>
      </w:hyperlink>
    </w:p>
    <w:sectPr>
      <w:footerReference w:type="default" r:id="rIdF1"/>
      <w:pgSz w:w="11906" w:h="16838"/>
      <w:pgMar w:top="1021" w:right="907" w:bottom="1134" w:left="907" w:header="567" w:footer="51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D0D5DD"/>
      </w:pBdr>
      <w:tabs>
        <w:tab w:val="right" w:pos="10092"/>
      </w:tabs>
      <w:spacing w:after="0"/>
    </w:pPr>
    <w:r>
      <w:rPr>
        <w:color w:val="8A8F98"/>
        <w:sz w:val="15"/>
      </w:rPr>
      <w:t xml:space="preserve">AkademiPedia Ölçek Arama Motoru · zaferhoca.com.tr</w:t>
    </w:r>
    <w:r>
      <w:rPr>
        <w:color w:val="8A8F98"/>
        <w:sz w:val="15"/>
      </w:rPr>
      <w:tab/>
      <w:t xml:space="preserve">Sayfa </w:t>
    </w:r>
    <w:fldSimple w:instr=" PAGE ">
      <w:r>
        <w:rPr>
          <w:color w:val="8A8F98"/>
          <w:sz w:val="15"/>
        </w:rPr>
        <w:t>1</w:t>
      </w:r>
    </w:fldSimple>
    <w:r>
      <w:rPr>
        <w:color w:val="8A8F98"/>
        <w:sz w:val="15"/>
      </w:rPr>
      <w:t xml:space="preserve"> / </w:t>
    </w:r>
    <w:fldSimple w:instr=" NUMPAGES ">
      <w:r>
        <w:rPr>
          <w:color w:val="8A8F98"/>
          <w:sz w:val="15"/>
        </w:rP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2B2F36"/>
        <w:sz w:val="21"/>
        <w:szCs w:val="21"/>
        <w:lang w:val="tr-TR" w:eastAsia="tr-TR" w:bidi="ar-S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1E3C7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1" Type="http://schemas.openxmlformats.org/officeDocument/2006/relationships/styles" Target="styles.xml"/><Relationship Id="rIdS2" Type="http://schemas.openxmlformats.org/officeDocument/2006/relationships/settings" Target="settings.xml"/><Relationship Id="rIdF1" Type="http://schemas.openxmlformats.org/officeDocument/2006/relationships/footer" Target="footer1.xml"/><Relationship Id="rIdL1" Type="http://schemas.openxmlformats.org/officeDocument/2006/relationships/hyperlink" Target="https://doi.org/10.21449/ijate.863225" TargetMode="External"/><Relationship Id="rIdL2" Type="http://schemas.openxmlformats.org/officeDocument/2006/relationships/hyperlink" Target="https://www.zaferhoca.com.tr/olcek-arama-motoru/istatistik-kaygi-olceg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zaferhoca.com.tr</Application>
  <Company>Zafer Hoca Dil Akademisi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İstatistik Kaygı Ölçeği (SAS) — Uygulama Formu ve Puanlama Kılavuzu</dc:title>
  <dc:subject>Ölçek uygulama formu ve puanlama kılavuzu</dc:subject>
  <dc:creator>Zafer Hoca Dil Akademisi</dc:creator>
  <cp:keywords>ölçek, İstatistik Kaygı Ölçeği</cp:keywords>
  <dc:language>tr-TR</dc:language>
  <cp:lastModifiedBy>zaferhoca.com.tr</cp:lastModifiedBy>
  <dcterms:created xsi:type="dcterms:W3CDTF">2026-10-28T08:58:48Z</dcterms:created>
  <dcterms:modified xsi:type="dcterms:W3CDTF">2026-10-28T08:58:48Z</dcterms:modified>
</cp:coreProperties>
</file>